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2434540"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771A57">
        <w:rPr>
          <w:rFonts w:eastAsia="Arial Unicode MS" w:cs="Arial"/>
          <w:bCs/>
          <w:sz w:val="24"/>
          <w:lang w:val="sv-FI"/>
        </w:rPr>
        <w:t>2</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062F34">
        <w:rPr>
          <w:rFonts w:eastAsia="Arial Unicode MS" w:cs="Arial"/>
          <w:bCs/>
          <w:sz w:val="24"/>
          <w:lang w:val="sv-FI"/>
        </w:rPr>
        <w:t>10124</w:t>
      </w:r>
    </w:p>
    <w:p w14:paraId="03EC003B" w14:textId="2A5BD133" w:rsidR="00602CFF" w:rsidRPr="00602CFF" w:rsidRDefault="00771A57"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Dallas, USA</w:t>
      </w:r>
      <w:r w:rsidR="00E04479">
        <w:rPr>
          <w:rFonts w:eastAsia="Arial Unicode MS" w:cs="Arial"/>
          <w:bCs/>
          <w:sz w:val="24"/>
        </w:rPr>
        <w:t>,</w:t>
      </w:r>
      <w:r w:rsidR="00331CF2">
        <w:rPr>
          <w:rFonts w:eastAsia="Arial Unicode MS" w:cs="Arial"/>
          <w:bCs/>
          <w:sz w:val="24"/>
        </w:rPr>
        <w:t xml:space="preserve"> </w:t>
      </w:r>
      <w:r w:rsidR="00A25015">
        <w:rPr>
          <w:rFonts w:eastAsia="Arial Unicode MS" w:cs="Arial"/>
          <w:bCs/>
          <w:sz w:val="24"/>
        </w:rPr>
        <w:t>17</w:t>
      </w:r>
      <w:r>
        <w:rPr>
          <w:rFonts w:eastAsia="Arial Unicode MS" w:cs="Arial"/>
          <w:bCs/>
          <w:sz w:val="24"/>
        </w:rPr>
        <w:t>-21</w:t>
      </w:r>
      <w:r w:rsidR="007E2FAB">
        <w:rPr>
          <w:rFonts w:eastAsia="Arial Unicode MS" w:cs="Arial"/>
          <w:bCs/>
          <w:sz w:val="24"/>
        </w:rPr>
        <w:t xml:space="preserve"> </w:t>
      </w:r>
      <w:r>
        <w:rPr>
          <w:rFonts w:eastAsia="Arial Unicode MS" w:cs="Arial"/>
          <w:bCs/>
          <w:sz w:val="24"/>
        </w:rPr>
        <w:t>Novem</w:t>
      </w:r>
      <w:r w:rsidR="00A25015">
        <w:rPr>
          <w:rFonts w:eastAsia="Arial Unicode MS" w:cs="Arial"/>
          <w:bCs/>
          <w:sz w:val="24"/>
        </w:rPr>
        <w:t>ber</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720DB9C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0459">
        <w:rPr>
          <w:rFonts w:ascii="Arial" w:hAnsi="Arial" w:cs="Arial"/>
          <w:b/>
        </w:rPr>
        <w:t>Conclusion for KI#1</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F9A07C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50459">
        <w:rPr>
          <w:rFonts w:ascii="Arial" w:hAnsi="Arial" w:cs="Arial"/>
          <w:b/>
        </w:rPr>
        <w:t>20.3.1</w:t>
      </w:r>
    </w:p>
    <w:p w14:paraId="3F7B9FA5" w14:textId="7B2673F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150459" w:rsidRPr="00150459">
        <w:rPr>
          <w:rFonts w:ascii="Arial" w:hAnsi="Arial" w:cs="Arial"/>
          <w:b/>
          <w:bCs/>
        </w:rPr>
        <w:t>FS_AIML_CN_Ph2</w:t>
      </w:r>
      <w:r w:rsidR="00150459">
        <w:rPr>
          <w:rFonts w:ascii="Arial" w:hAnsi="Arial" w:cs="Arial"/>
          <w:b/>
          <w:bCs/>
        </w:rPr>
        <w:t xml:space="preserve"> / Rel-20</w:t>
      </w:r>
    </w:p>
    <w:p w14:paraId="04A85BCE" w14:textId="2EEFAA54" w:rsidR="00602CFF" w:rsidRDefault="00602CFF" w:rsidP="00602CFF">
      <w:pPr>
        <w:rPr>
          <w:rFonts w:ascii="Arial" w:hAnsi="Arial" w:cs="Arial"/>
          <w:i/>
        </w:rPr>
      </w:pPr>
      <w:r>
        <w:rPr>
          <w:rFonts w:ascii="Arial" w:hAnsi="Arial" w:cs="Arial"/>
          <w:i/>
        </w:rPr>
        <w:t>Abstract of the contribution:</w:t>
      </w:r>
      <w:r w:rsidR="00150459">
        <w:rPr>
          <w:rFonts w:ascii="Arial" w:hAnsi="Arial" w:cs="Arial"/>
          <w:i/>
        </w:rPr>
        <w:t xml:space="preserve"> This contribution proposed the conclusion for KI#1</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3C65988A" w:rsidR="00106137" w:rsidRDefault="00150459" w:rsidP="00680A19">
      <w:r>
        <w:rPr>
          <w:lang w:eastAsia="ko-KR"/>
        </w:rPr>
        <w:t>This contribution proposed the conclusion for KI#1.</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E1CFE4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150459">
        <w:rPr>
          <w:lang w:eastAsia="ko-KR"/>
        </w:rPr>
        <w:t>04</w:t>
      </w:r>
      <w:r w:rsidR="00831985">
        <w:rPr>
          <w:lang w:eastAsia="ko-KR"/>
        </w:rPr>
        <w:t>:</w:t>
      </w:r>
    </w:p>
    <w:p w14:paraId="131C4C21" w14:textId="2CE10711"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150459">
        <w:rPr>
          <w:rFonts w:ascii="Arial" w:hAnsi="Arial" w:cs="Arial"/>
          <w:color w:val="FFFFFF"/>
          <w:sz w:val="36"/>
          <w:szCs w:val="36"/>
          <w:highlight w:val="blue"/>
          <w:lang w:eastAsia="ko-KR"/>
        </w:rPr>
        <w:t xml:space="preserve"> (all new text)</w:t>
      </w:r>
      <w:r w:rsidRPr="00FC7455">
        <w:rPr>
          <w:rFonts w:ascii="Arial" w:hAnsi="Arial" w:cs="Arial"/>
          <w:color w:val="FFFFFF"/>
          <w:sz w:val="36"/>
          <w:szCs w:val="36"/>
          <w:highlight w:val="blue"/>
          <w:lang w:eastAsia="ko-KR"/>
        </w:rPr>
        <w:t>&lt;&lt;&lt;&lt;</w:t>
      </w:r>
    </w:p>
    <w:p w14:paraId="4854D425" w14:textId="77777777" w:rsidR="00150459" w:rsidRPr="00182836" w:rsidRDefault="00150459" w:rsidP="00150459">
      <w:pPr>
        <w:pStyle w:val="Heading1"/>
      </w:pPr>
      <w:bookmarkStart w:id="1" w:name="_Toc197067455"/>
      <w:bookmarkStart w:id="2" w:name="_Toc199429146"/>
      <w:bookmarkStart w:id="3" w:name="_Toc199429548"/>
      <w:bookmarkStart w:id="4" w:name="_Toc199429822"/>
      <w:bookmarkStart w:id="5" w:name="_Toc207704304"/>
      <w:bookmarkStart w:id="6" w:name="_Toc212619015"/>
      <w:bookmarkEnd w:id="0"/>
      <w:r w:rsidRPr="00182836">
        <w:t>8</w:t>
      </w:r>
      <w:r w:rsidRPr="00182836">
        <w:tab/>
        <w:t>Conclusions</w:t>
      </w:r>
      <w:bookmarkEnd w:id="1"/>
      <w:bookmarkEnd w:id="2"/>
      <w:bookmarkEnd w:id="3"/>
      <w:bookmarkEnd w:id="4"/>
      <w:bookmarkEnd w:id="5"/>
      <w:bookmarkEnd w:id="6"/>
    </w:p>
    <w:p w14:paraId="4B2D04D8" w14:textId="0894BE55" w:rsidR="00747FC3" w:rsidRDefault="00747FC3" w:rsidP="00150459">
      <w:r>
        <w:t>The conclusion for KI#</w:t>
      </w:r>
      <w:r w:rsidR="00D135C1">
        <w:t>1 is</w:t>
      </w:r>
      <w:r>
        <w:t xml:space="preserve"> </w:t>
      </w:r>
      <w:r w:rsidR="00D135C1">
        <w:t xml:space="preserve">agreed </w:t>
      </w:r>
      <w:r>
        <w:t>as follows:</w:t>
      </w:r>
    </w:p>
    <w:p w14:paraId="1426532C" w14:textId="3671D429" w:rsidR="00747FC3" w:rsidRPr="00D135C1" w:rsidRDefault="00D135C1" w:rsidP="00150459">
      <w:pPr>
        <w:rPr>
          <w:u w:val="single"/>
        </w:rPr>
      </w:pPr>
      <w:r w:rsidRPr="00D135C1">
        <w:rPr>
          <w:u w:val="single"/>
        </w:rPr>
        <w:t>Architecture</w:t>
      </w:r>
    </w:p>
    <w:p w14:paraId="541899EA" w14:textId="30EBAB28" w:rsidR="00DF0D5D" w:rsidRDefault="00DF0D5D" w:rsidP="00C70FA5">
      <w:pPr>
        <w:pStyle w:val="B1"/>
        <w:numPr>
          <w:ilvl w:val="0"/>
          <w:numId w:val="5"/>
        </w:numPr>
      </w:pPr>
      <w:r>
        <w:rPr>
          <w:rFonts w:eastAsia="DengXian" w:hint="eastAsia"/>
          <w:lang w:val="en-GB" w:eastAsia="zh-CN"/>
        </w:rPr>
        <w:t>A</w:t>
      </w:r>
      <w:r>
        <w:rPr>
          <w:lang w:eastAsia="zh-CN"/>
        </w:rPr>
        <w:t xml:space="preserve"> new 5G</w:t>
      </w:r>
      <w:r>
        <w:rPr>
          <w:lang w:val="en-US" w:eastAsia="zh-CN"/>
        </w:rPr>
        <w:t>C</w:t>
      </w:r>
      <w:r>
        <w:rPr>
          <w:lang w:eastAsia="zh-CN"/>
        </w:rPr>
        <w:t xml:space="preserve"> </w:t>
      </w:r>
      <w:r>
        <w:rPr>
          <w:lang w:val="en-US" w:eastAsia="zh-CN"/>
        </w:rPr>
        <w:t>entity</w:t>
      </w:r>
      <w:r>
        <w:rPr>
          <w:lang w:eastAsia="zh-CN"/>
        </w:rPr>
        <w:t xml:space="preserve"> </w:t>
      </w:r>
      <w:r>
        <w:rPr>
          <w:rFonts w:eastAsia="DengXian" w:hint="eastAsia"/>
          <w:lang w:eastAsia="zh-CN"/>
        </w:rPr>
        <w:t xml:space="preserve">called DCF is defined </w:t>
      </w:r>
      <w:r>
        <w:rPr>
          <w:lang w:val="en-US" w:eastAsia="zh-CN"/>
        </w:rPr>
        <w:t xml:space="preserve">as the UP path termination entity </w:t>
      </w:r>
      <w:r>
        <w:rPr>
          <w:lang w:eastAsia="zh-CN"/>
        </w:rPr>
        <w:t>to support the transfer of data over UP for UE data</w:t>
      </w:r>
      <w:r>
        <w:rPr>
          <w:rFonts w:eastAsia="DengXian" w:hint="eastAsia"/>
          <w:lang w:eastAsia="zh-CN"/>
        </w:rPr>
        <w:t>.</w:t>
      </w:r>
      <w:r>
        <w:rPr>
          <w:rFonts w:eastAsia="DengXian"/>
          <w:lang w:eastAsia="zh-CN"/>
        </w:rPr>
        <w:t xml:space="preserve"> </w:t>
      </w:r>
      <w:r>
        <w:t xml:space="preserve">A UP path is used between the UE and DCF, </w:t>
      </w:r>
      <w:r w:rsidRPr="00182836">
        <w:t>for transferring standardized collected data from the UE using PDU connectivity service provided by a PDU session.</w:t>
      </w:r>
      <w:r>
        <w:t xml:space="preserve"> </w:t>
      </w:r>
      <w:r w:rsidRPr="00DF0D5D">
        <w:rPr>
          <w:rFonts w:eastAsia="DengXian"/>
          <w:lang w:eastAsia="zh-CN"/>
        </w:rPr>
        <w:t>The DCF will further transfer the received data to the AF for UE side model training</w:t>
      </w:r>
      <w:r>
        <w:rPr>
          <w:rFonts w:eastAsia="DengXian"/>
          <w:lang w:eastAsia="zh-CN"/>
        </w:rPr>
        <w:t>. The DCF can be standalone or co-located with an existing function in 5GC.</w:t>
      </w:r>
    </w:p>
    <w:p w14:paraId="3F81868A" w14:textId="2B50603A" w:rsidR="00D135C1" w:rsidRDefault="00843325" w:rsidP="00C70FA5">
      <w:pPr>
        <w:pStyle w:val="B1"/>
        <w:numPr>
          <w:ilvl w:val="0"/>
          <w:numId w:val="4"/>
        </w:numPr>
      </w:pPr>
      <w:r>
        <w:t xml:space="preserve">The </w:t>
      </w:r>
      <w:r w:rsidR="00DF0D5D">
        <w:t>DCF</w:t>
      </w:r>
      <w:r>
        <w:t xml:space="preserve"> support</w:t>
      </w:r>
      <w:r w:rsidR="00722C41">
        <w:t>s</w:t>
      </w:r>
      <w:r>
        <w:t xml:space="preserve"> the following functions:</w:t>
      </w:r>
    </w:p>
    <w:p w14:paraId="37785712" w14:textId="77777777" w:rsidR="00D135C1" w:rsidRPr="00D135C1" w:rsidRDefault="00D135C1" w:rsidP="00C70FA5">
      <w:pPr>
        <w:numPr>
          <w:ilvl w:val="1"/>
          <w:numId w:val="4"/>
        </w:numPr>
        <w:rPr>
          <w:lang w:val="en-US"/>
        </w:rPr>
      </w:pPr>
      <w:r w:rsidRPr="00D135C1">
        <w:rPr>
          <w:lang w:val="en-US"/>
        </w:rPr>
        <w:t>May receive the data transfer request from an AF which requires data for UE side model training.</w:t>
      </w:r>
    </w:p>
    <w:p w14:paraId="1EB12F9F" w14:textId="77777777" w:rsidR="00D135C1" w:rsidRPr="00D135C1" w:rsidRDefault="00D135C1" w:rsidP="00C70FA5">
      <w:pPr>
        <w:numPr>
          <w:ilvl w:val="1"/>
          <w:numId w:val="4"/>
        </w:numPr>
        <w:rPr>
          <w:lang w:val="en-US"/>
        </w:rPr>
      </w:pPr>
      <w:r w:rsidRPr="00D135C1">
        <w:rPr>
          <w:lang w:val="en-US"/>
        </w:rPr>
        <w:t>Initiating the data transfer request to UE</w:t>
      </w:r>
    </w:p>
    <w:p w14:paraId="0E7CB7B0" w14:textId="77777777" w:rsidR="00D135C1" w:rsidRPr="00D135C1" w:rsidRDefault="00D135C1" w:rsidP="00C70FA5">
      <w:pPr>
        <w:numPr>
          <w:ilvl w:val="1"/>
          <w:numId w:val="4"/>
        </w:numPr>
        <w:rPr>
          <w:lang w:val="en-US"/>
        </w:rPr>
      </w:pPr>
      <w:r w:rsidRPr="00D135C1">
        <w:rPr>
          <w:lang w:val="en-US"/>
        </w:rPr>
        <w:t>Receiving data report from UE</w:t>
      </w:r>
    </w:p>
    <w:p w14:paraId="619F9501" w14:textId="637D8B27" w:rsidR="00D135C1" w:rsidRPr="00D135C1" w:rsidRDefault="00D135C1" w:rsidP="00C70FA5">
      <w:pPr>
        <w:numPr>
          <w:ilvl w:val="1"/>
          <w:numId w:val="4"/>
        </w:numPr>
        <w:rPr>
          <w:lang w:val="en-US"/>
        </w:rPr>
      </w:pPr>
      <w:r w:rsidRPr="00D135C1">
        <w:rPr>
          <w:lang w:val="en-US"/>
        </w:rPr>
        <w:t>Further transfer</w:t>
      </w:r>
      <w:r w:rsidR="00722C41">
        <w:rPr>
          <w:lang w:val="en-US"/>
        </w:rPr>
        <w:t>ring</w:t>
      </w:r>
      <w:r w:rsidRPr="00D135C1">
        <w:rPr>
          <w:lang w:val="en-US"/>
        </w:rPr>
        <w:t xml:space="preserve"> the received data to the </w:t>
      </w:r>
      <w:r w:rsidR="00384EC6">
        <w:rPr>
          <w:lang w:val="en-US"/>
        </w:rPr>
        <w:t>AF</w:t>
      </w:r>
      <w:r w:rsidRPr="00D135C1">
        <w:rPr>
          <w:lang w:val="en-US"/>
        </w:rPr>
        <w:t xml:space="preserve"> for UE side model training</w:t>
      </w:r>
    </w:p>
    <w:p w14:paraId="3467FD58" w14:textId="0B3354E9" w:rsidR="00D135C1" w:rsidRPr="00843325" w:rsidRDefault="00843325" w:rsidP="00843325">
      <w:pPr>
        <w:rPr>
          <w:u w:val="single"/>
        </w:rPr>
      </w:pPr>
      <w:r w:rsidRPr="00843325">
        <w:rPr>
          <w:u w:val="single"/>
        </w:rPr>
        <w:t>UP Data transfer trigger</w:t>
      </w:r>
    </w:p>
    <w:p w14:paraId="6A424400" w14:textId="0516FBBD" w:rsidR="00843325" w:rsidRDefault="00843325" w:rsidP="00843325">
      <w:r>
        <w:t>The following triggers are supported optionally as below:</w:t>
      </w:r>
    </w:p>
    <w:p w14:paraId="60712367" w14:textId="77777777" w:rsidR="00843325" w:rsidRPr="00843325" w:rsidRDefault="00843325" w:rsidP="00C70FA5">
      <w:pPr>
        <w:numPr>
          <w:ilvl w:val="0"/>
          <w:numId w:val="6"/>
        </w:numPr>
      </w:pPr>
      <w:r>
        <w:t xml:space="preserve">AF may send the data transfer request </w:t>
      </w:r>
      <w:r w:rsidRPr="00843325">
        <w:rPr>
          <w:lang w:val="en-US"/>
        </w:rPr>
        <w:t>which includes the requested feature ID (e.g., beam</w:t>
      </w:r>
      <w:r>
        <w:rPr>
          <w:lang w:val="en-US"/>
        </w:rPr>
        <w:t xml:space="preserve"> </w:t>
      </w:r>
      <w:r w:rsidRPr="00843325">
        <w:rPr>
          <w:lang w:val="en-US"/>
        </w:rPr>
        <w:t>forming</w:t>
      </w:r>
      <w:r>
        <w:rPr>
          <w:lang w:val="en-US"/>
        </w:rPr>
        <w:t>, .</w:t>
      </w:r>
      <w:r w:rsidRPr="00843325">
        <w:rPr>
          <w:lang w:val="en-US"/>
        </w:rPr>
        <w:t>etc), reporting period, time window, geographic area, or</w:t>
      </w:r>
    </w:p>
    <w:p w14:paraId="4C174EA9" w14:textId="5A8CA3B4" w:rsidR="00843325" w:rsidRPr="00843325" w:rsidRDefault="00843325" w:rsidP="00C70FA5">
      <w:pPr>
        <w:numPr>
          <w:ilvl w:val="0"/>
          <w:numId w:val="6"/>
        </w:numPr>
      </w:pPr>
      <w:r w:rsidRPr="00843325">
        <w:rPr>
          <w:lang w:val="en-US"/>
        </w:rPr>
        <w:t>AF may communicate UE about Data Transfer via application layer signalling which is out of 3GPP scope.</w:t>
      </w:r>
    </w:p>
    <w:p w14:paraId="48E16C49" w14:textId="7EE42258" w:rsidR="00843325" w:rsidRPr="00843325" w:rsidRDefault="00DF0D5D" w:rsidP="00843325">
      <w:pPr>
        <w:rPr>
          <w:u w:val="single"/>
          <w:lang w:val="en-US"/>
        </w:rPr>
      </w:pPr>
      <w:r>
        <w:rPr>
          <w:u w:val="single"/>
          <w:lang w:val="en-US"/>
        </w:rPr>
        <w:t>DCF</w:t>
      </w:r>
      <w:r w:rsidR="00843325" w:rsidRPr="00843325">
        <w:rPr>
          <w:u w:val="single"/>
          <w:lang w:val="en-US"/>
        </w:rPr>
        <w:t xml:space="preserve"> discovery</w:t>
      </w:r>
    </w:p>
    <w:p w14:paraId="11CE8362" w14:textId="11067472" w:rsidR="00843325" w:rsidRDefault="00843325" w:rsidP="00843325">
      <w:pPr>
        <w:rPr>
          <w:lang w:val="en-US"/>
        </w:rPr>
      </w:pPr>
      <w:r>
        <w:rPr>
          <w:lang w:val="en-US"/>
        </w:rPr>
        <w:t xml:space="preserve">If AF sends the data transfer request to 5GC, the NEF may discover the </w:t>
      </w:r>
      <w:r w:rsidR="00DF0D5D">
        <w:rPr>
          <w:lang w:val="en-US"/>
        </w:rPr>
        <w:t>DCF</w:t>
      </w:r>
      <w:r w:rsidR="00D8332C">
        <w:rPr>
          <w:lang w:val="en-US"/>
        </w:rPr>
        <w:t xml:space="preserve"> via</w:t>
      </w:r>
    </w:p>
    <w:p w14:paraId="398FEA99" w14:textId="470394CD" w:rsidR="00D8332C" w:rsidRDefault="00D8332C" w:rsidP="00C70FA5">
      <w:pPr>
        <w:numPr>
          <w:ilvl w:val="0"/>
          <w:numId w:val="7"/>
        </w:numPr>
        <w:rPr>
          <w:lang w:val="en-US"/>
        </w:rPr>
      </w:pPr>
      <w:r>
        <w:rPr>
          <w:lang w:val="en-US"/>
        </w:rPr>
        <w:t>Local configuration in NEF, or</w:t>
      </w:r>
    </w:p>
    <w:p w14:paraId="440528BA" w14:textId="54E2E930" w:rsidR="00D8332C" w:rsidRDefault="00D8332C" w:rsidP="00C70FA5">
      <w:pPr>
        <w:numPr>
          <w:ilvl w:val="0"/>
          <w:numId w:val="7"/>
        </w:numPr>
        <w:rPr>
          <w:lang w:val="en-US"/>
        </w:rPr>
      </w:pPr>
      <w:r>
        <w:rPr>
          <w:lang w:val="en-US"/>
        </w:rPr>
        <w:lastRenderedPageBreak/>
        <w:t>NF discovery from NRF</w:t>
      </w:r>
    </w:p>
    <w:p w14:paraId="705D0C5F" w14:textId="4B58122C" w:rsidR="00D8332C" w:rsidRPr="00AE3172" w:rsidRDefault="00D8332C" w:rsidP="00D8332C">
      <w:pPr>
        <w:rPr>
          <w:highlight w:val="yellow"/>
          <w:u w:val="single"/>
          <w:lang w:val="en-US"/>
        </w:rPr>
      </w:pPr>
      <w:r w:rsidRPr="00AE3172">
        <w:rPr>
          <w:highlight w:val="yellow"/>
          <w:u w:val="single"/>
          <w:lang w:val="en-US"/>
        </w:rPr>
        <w:t>UE list determination</w:t>
      </w:r>
    </w:p>
    <w:p w14:paraId="6FE2BBB4" w14:textId="0F0C7101" w:rsidR="00747FC3" w:rsidRPr="00AE3172" w:rsidRDefault="00D8332C" w:rsidP="00150459">
      <w:pPr>
        <w:rPr>
          <w:highlight w:val="yellow"/>
        </w:rPr>
      </w:pPr>
      <w:r w:rsidRPr="00AE3172">
        <w:rPr>
          <w:highlight w:val="yellow"/>
        </w:rPr>
        <w:t xml:space="preserve">The </w:t>
      </w:r>
      <w:r w:rsidR="00DF0D5D">
        <w:rPr>
          <w:highlight w:val="yellow"/>
        </w:rPr>
        <w:t>DCF</w:t>
      </w:r>
      <w:r w:rsidRPr="00AE3172">
        <w:rPr>
          <w:highlight w:val="yellow"/>
        </w:rPr>
        <w:t xml:space="preserve"> determine</w:t>
      </w:r>
      <w:r w:rsidR="00DF0D5D">
        <w:rPr>
          <w:highlight w:val="yellow"/>
        </w:rPr>
        <w:t>s</w:t>
      </w:r>
      <w:r w:rsidRPr="00AE3172">
        <w:rPr>
          <w:highlight w:val="yellow"/>
        </w:rPr>
        <w:t xml:space="preserve"> the UE list </w:t>
      </w:r>
      <w:r w:rsidR="00355438">
        <w:rPr>
          <w:highlight w:val="yellow"/>
        </w:rPr>
        <w:t xml:space="preserve">for data transfer </w:t>
      </w:r>
      <w:r w:rsidRPr="00AE3172">
        <w:rPr>
          <w:highlight w:val="yellow"/>
        </w:rPr>
        <w:t>with the following optional information:</w:t>
      </w:r>
    </w:p>
    <w:p w14:paraId="16CF7A74" w14:textId="35FCC741" w:rsidR="00D8332C" w:rsidRPr="00AE3172" w:rsidRDefault="00D8332C" w:rsidP="00DF0D5D">
      <w:pPr>
        <w:rPr>
          <w:highlight w:val="yellow"/>
          <w:lang w:val="en-US"/>
        </w:rPr>
      </w:pPr>
    </w:p>
    <w:p w14:paraId="309973E8" w14:textId="68EB7163" w:rsidR="00D8332C" w:rsidRPr="00AE3172" w:rsidRDefault="00355438" w:rsidP="00C70FA5">
      <w:pPr>
        <w:numPr>
          <w:ilvl w:val="0"/>
          <w:numId w:val="8"/>
        </w:numPr>
        <w:rPr>
          <w:highlight w:val="yellow"/>
          <w:lang w:val="en-US"/>
        </w:rPr>
      </w:pPr>
      <w:r>
        <w:rPr>
          <w:highlight w:val="yellow"/>
          <w:lang w:val="en-US"/>
        </w:rPr>
        <w:t xml:space="preserve">Candidate </w:t>
      </w:r>
      <w:r w:rsidR="00D8332C" w:rsidRPr="00AE3172">
        <w:rPr>
          <w:highlight w:val="yellow"/>
          <w:lang w:val="en-US"/>
        </w:rPr>
        <w:t>UE list which provided by AF,</w:t>
      </w:r>
    </w:p>
    <w:p w14:paraId="0A0054DD" w14:textId="3D74C60E" w:rsidR="00D8332C" w:rsidRPr="00355438" w:rsidRDefault="00D8332C" w:rsidP="00AE3172">
      <w:pPr>
        <w:pStyle w:val="ListParagraph"/>
        <w:numPr>
          <w:ilvl w:val="0"/>
          <w:numId w:val="8"/>
        </w:numPr>
        <w:rPr>
          <w:highlight w:val="yellow"/>
          <w:lang w:val="en-US"/>
        </w:rPr>
      </w:pPr>
    </w:p>
    <w:p w14:paraId="68FAE26A" w14:textId="66EECADB" w:rsidR="00D8332C" w:rsidRDefault="00D8332C" w:rsidP="00C70FA5">
      <w:pPr>
        <w:numPr>
          <w:ilvl w:val="0"/>
          <w:numId w:val="8"/>
        </w:numPr>
        <w:rPr>
          <w:lang w:val="en-US"/>
        </w:rPr>
      </w:pPr>
      <w:r w:rsidRPr="00D8332C">
        <w:rPr>
          <w:lang w:val="en-US"/>
        </w:rPr>
        <w:t>UE in connected mode</w:t>
      </w:r>
      <w:r w:rsidR="00722C41">
        <w:rPr>
          <w:lang w:val="en-US"/>
        </w:rPr>
        <w:t>,</w:t>
      </w:r>
    </w:p>
    <w:p w14:paraId="1154BA52" w14:textId="11106372" w:rsidR="00D8332C" w:rsidRDefault="00D8332C" w:rsidP="00C70FA5">
      <w:pPr>
        <w:numPr>
          <w:ilvl w:val="0"/>
          <w:numId w:val="8"/>
        </w:numPr>
        <w:rPr>
          <w:lang w:val="en-US"/>
        </w:rPr>
      </w:pPr>
      <w:r>
        <w:rPr>
          <w:lang w:val="en-US"/>
        </w:rPr>
        <w:t>User consent for each UE</w:t>
      </w:r>
    </w:p>
    <w:p w14:paraId="16BCD214" w14:textId="67B3BAA1" w:rsidR="00821D5C" w:rsidRDefault="00821D5C" w:rsidP="00D8332C">
      <w:pPr>
        <w:rPr>
          <w:u w:val="single"/>
          <w:lang w:val="en-US"/>
        </w:rPr>
      </w:pPr>
      <w:r>
        <w:rPr>
          <w:u w:val="single"/>
          <w:lang w:val="en-US"/>
        </w:rPr>
        <w:t>UP path information Configuration</w:t>
      </w:r>
    </w:p>
    <w:p w14:paraId="32C4E002" w14:textId="43DEDED4" w:rsidR="00821D5C" w:rsidRDefault="00821D5C" w:rsidP="00821D5C">
      <w:r>
        <w:t>T</w:t>
      </w:r>
      <w:r w:rsidRPr="00821D5C">
        <w:t xml:space="preserve">he </w:t>
      </w:r>
      <w:r>
        <w:t xml:space="preserve">following </w:t>
      </w:r>
      <w:r w:rsidR="00384EC6">
        <w:t>mechanism</w:t>
      </w:r>
      <w:r>
        <w:t xml:space="preserve"> may be supported </w:t>
      </w:r>
      <w:r w:rsidR="00384EC6">
        <w:t xml:space="preserve">optionally </w:t>
      </w:r>
      <w:r>
        <w:t>as below:</w:t>
      </w:r>
    </w:p>
    <w:p w14:paraId="462AA66A" w14:textId="0E018B05" w:rsidR="00821D5C" w:rsidRDefault="00821D5C" w:rsidP="00C70FA5">
      <w:pPr>
        <w:numPr>
          <w:ilvl w:val="0"/>
          <w:numId w:val="8"/>
        </w:numPr>
      </w:pPr>
      <w:r>
        <w:t xml:space="preserve">The FQDN of </w:t>
      </w:r>
      <w:r w:rsidR="00DF0D5D">
        <w:t>DCF</w:t>
      </w:r>
      <w:r>
        <w:t xml:space="preserve"> is self-constructed in UE, UE discovers the </w:t>
      </w:r>
      <w:r w:rsidR="00DF0D5D">
        <w:t>DCF</w:t>
      </w:r>
      <w:r>
        <w:t xml:space="preserve"> via DNS query, or</w:t>
      </w:r>
    </w:p>
    <w:p w14:paraId="1A116175" w14:textId="6C3F028D" w:rsidR="00821D5C" w:rsidRPr="00821D5C" w:rsidRDefault="00821D5C" w:rsidP="00C70FA5">
      <w:pPr>
        <w:numPr>
          <w:ilvl w:val="0"/>
          <w:numId w:val="8"/>
        </w:numPr>
      </w:pPr>
      <w:r>
        <w:t xml:space="preserve">The </w:t>
      </w:r>
      <w:r w:rsidR="00DF0D5D">
        <w:t>DCF</w:t>
      </w:r>
      <w:r>
        <w:t xml:space="preserve"> sends the FQDN / IP address to UE via NAS signalling</w:t>
      </w:r>
    </w:p>
    <w:p w14:paraId="4076B388" w14:textId="524AC917" w:rsidR="00D8332C" w:rsidRPr="00D8332C" w:rsidRDefault="00D8332C" w:rsidP="00D8332C">
      <w:pPr>
        <w:rPr>
          <w:u w:val="single"/>
          <w:lang w:val="en-US"/>
        </w:rPr>
      </w:pPr>
      <w:r w:rsidRPr="00D8332C">
        <w:rPr>
          <w:u w:val="single"/>
          <w:lang w:val="en-US"/>
        </w:rPr>
        <w:t>Data Transfer Configuration</w:t>
      </w:r>
    </w:p>
    <w:p w14:paraId="0EFFE929" w14:textId="4851BCDB" w:rsidR="00D8332C" w:rsidRDefault="00821D5C" w:rsidP="00821D5C">
      <w:pPr>
        <w:rPr>
          <w:lang w:val="en-US"/>
        </w:rPr>
      </w:pPr>
      <w:r>
        <w:rPr>
          <w:lang w:val="en-US"/>
        </w:rPr>
        <w:t xml:space="preserve">The following </w:t>
      </w:r>
      <w:r w:rsidR="00384EC6">
        <w:rPr>
          <w:lang w:val="en-US"/>
        </w:rPr>
        <w:t>mechanism</w:t>
      </w:r>
      <w:r>
        <w:rPr>
          <w:lang w:val="en-US"/>
        </w:rPr>
        <w:t xml:space="preserve"> may be supported</w:t>
      </w:r>
      <w:r w:rsidR="00384EC6">
        <w:rPr>
          <w:lang w:val="en-US"/>
        </w:rPr>
        <w:t xml:space="preserve"> optionally</w:t>
      </w:r>
      <w:r>
        <w:rPr>
          <w:lang w:val="en-US"/>
        </w:rPr>
        <w:t xml:space="preserve"> as below:</w:t>
      </w:r>
    </w:p>
    <w:p w14:paraId="302E8F9D" w14:textId="02C6EB1D" w:rsidR="00821D5C" w:rsidRDefault="00821D5C" w:rsidP="00C70FA5">
      <w:pPr>
        <w:numPr>
          <w:ilvl w:val="0"/>
          <w:numId w:val="8"/>
        </w:numPr>
        <w:rPr>
          <w:lang w:val="en-US"/>
        </w:rPr>
      </w:pPr>
      <w:r>
        <w:rPr>
          <w:lang w:val="en-US"/>
        </w:rPr>
        <w:t xml:space="preserve">The </w:t>
      </w:r>
      <w:r w:rsidR="00DF0D5D">
        <w:rPr>
          <w:lang w:val="en-US"/>
        </w:rPr>
        <w:t>DCF</w:t>
      </w:r>
      <w:r>
        <w:rPr>
          <w:lang w:val="en-US"/>
        </w:rPr>
        <w:t xml:space="preserve"> sends the Data Transfer Configuration to UE via UP signalling,</w:t>
      </w:r>
      <w:r w:rsidR="00784FC7">
        <w:rPr>
          <w:lang w:val="en-US"/>
        </w:rPr>
        <w:t xml:space="preserve"> UE negotiates the data collection configuration with gNB which will be defined in RAN2. UE may also reject the Data transfer due to implementation. </w:t>
      </w:r>
      <w:r>
        <w:rPr>
          <w:lang w:val="en-US"/>
        </w:rPr>
        <w:t>or</w:t>
      </w:r>
    </w:p>
    <w:p w14:paraId="63E211C5" w14:textId="56B143E4" w:rsidR="00821D5C" w:rsidRDefault="00821D5C" w:rsidP="00C70FA5">
      <w:pPr>
        <w:numPr>
          <w:ilvl w:val="0"/>
          <w:numId w:val="8"/>
        </w:numPr>
        <w:rPr>
          <w:lang w:val="en-US"/>
        </w:rPr>
      </w:pPr>
      <w:r>
        <w:rPr>
          <w:lang w:val="en-US"/>
        </w:rPr>
        <w:t xml:space="preserve">The </w:t>
      </w:r>
      <w:r w:rsidR="00DF0D5D">
        <w:rPr>
          <w:lang w:val="en-US"/>
        </w:rPr>
        <w:t>DCF</w:t>
      </w:r>
      <w:r>
        <w:rPr>
          <w:lang w:val="en-US"/>
        </w:rPr>
        <w:t xml:space="preserve"> sends the Data Transfer Configuration to UE via NAS </w:t>
      </w:r>
      <w:proofErr w:type="spellStart"/>
      <w:r>
        <w:rPr>
          <w:lang w:val="en-US"/>
        </w:rPr>
        <w:t>signalling</w:t>
      </w:r>
      <w:proofErr w:type="spellEnd"/>
      <w:r>
        <w:rPr>
          <w:lang w:val="en-US"/>
        </w:rPr>
        <w:t xml:space="preserve">, the </w:t>
      </w:r>
      <w:r w:rsidR="00DF0D5D">
        <w:rPr>
          <w:lang w:val="en-US"/>
        </w:rPr>
        <w:t>DCF</w:t>
      </w:r>
      <w:r w:rsidR="00784FC7">
        <w:rPr>
          <w:lang w:val="en-US"/>
        </w:rPr>
        <w:t xml:space="preserve"> may also send the Data transfer assistance information to gNB, gNB may consider the Data transfer assistance information for data collection configuration. gNB may also reject the data transfer due to the UE radio capability.</w:t>
      </w:r>
    </w:p>
    <w:p w14:paraId="7BB976F1" w14:textId="75CD4F6B" w:rsidR="00D8332C" w:rsidRPr="00784FC7" w:rsidRDefault="00784FC7" w:rsidP="00D8332C">
      <w:pPr>
        <w:rPr>
          <w:u w:val="single"/>
          <w:lang w:val="en-US"/>
        </w:rPr>
      </w:pPr>
      <w:r w:rsidRPr="00784FC7">
        <w:rPr>
          <w:u w:val="single"/>
          <w:lang w:val="en-US"/>
        </w:rPr>
        <w:t>Traffic differentiation</w:t>
      </w:r>
    </w:p>
    <w:p w14:paraId="287F4EBB" w14:textId="69867657" w:rsidR="00747FC3" w:rsidRDefault="00784FC7" w:rsidP="00150459">
      <w:r>
        <w:t xml:space="preserve">The following </w:t>
      </w:r>
      <w:r w:rsidR="00384EC6">
        <w:t>mechanism</w:t>
      </w:r>
      <w:r>
        <w:t xml:space="preserve"> may be supported </w:t>
      </w:r>
      <w:r w:rsidR="00384EC6">
        <w:t xml:space="preserve">optionally </w:t>
      </w:r>
      <w:r>
        <w:t>as below:</w:t>
      </w:r>
    </w:p>
    <w:p w14:paraId="5D303578" w14:textId="6FCF6271" w:rsidR="00784FC7" w:rsidRPr="00182836" w:rsidRDefault="00784FC7" w:rsidP="00C70FA5">
      <w:pPr>
        <w:pStyle w:val="B1"/>
        <w:numPr>
          <w:ilvl w:val="0"/>
          <w:numId w:val="8"/>
        </w:numPr>
      </w:pPr>
      <w:r w:rsidRPr="00182836">
        <w:t>Dedicated S-NSSAI/DNN is used to differentiate the traffic of collected UE data from the UE regular traffic per PDU Session level.</w:t>
      </w:r>
      <w:r w:rsidRPr="00784FC7">
        <w:t xml:space="preserve"> </w:t>
      </w:r>
      <w:r w:rsidRPr="00182836">
        <w:t>The UE establishes a new PDU Session, or modifies an existing PDU Session which has been established for UE data transfer, to transfer the standardized UE data, based on URSP rules.</w:t>
      </w:r>
      <w:r>
        <w:t xml:space="preserve"> or</w:t>
      </w:r>
    </w:p>
    <w:p w14:paraId="7F2EA426" w14:textId="19BEFB8C" w:rsidR="00784FC7" w:rsidRPr="00182836" w:rsidRDefault="00784FC7" w:rsidP="00C70FA5">
      <w:pPr>
        <w:pStyle w:val="B1"/>
        <w:numPr>
          <w:ilvl w:val="0"/>
          <w:numId w:val="8"/>
        </w:numPr>
      </w:pPr>
      <w:r w:rsidRPr="00DB1289">
        <w:rPr>
          <w:rFonts w:hint="eastAsia"/>
        </w:rPr>
        <w:t>T</w:t>
      </w:r>
      <w:r w:rsidRPr="00DB1289">
        <w:t xml:space="preserve">he packet filter set (e.g., IP address / IPv6 prefix or port number of the </w:t>
      </w:r>
      <w:r w:rsidR="00DF0D5D">
        <w:t>DCF</w:t>
      </w:r>
      <w:r w:rsidRPr="00DB1289">
        <w:t>) is used in the QoS rule and the PDR to identify the packet flow used for UE data transfer.</w:t>
      </w:r>
    </w:p>
    <w:p w14:paraId="10DCCD34" w14:textId="2AFA0F09" w:rsidR="00784FC7" w:rsidRPr="00784FC7" w:rsidRDefault="00784FC7" w:rsidP="00784FC7">
      <w:pPr>
        <w:rPr>
          <w:u w:val="single"/>
        </w:rPr>
      </w:pPr>
      <w:r w:rsidRPr="00784FC7">
        <w:rPr>
          <w:u w:val="single"/>
        </w:rPr>
        <w:t>UE data transfer report</w:t>
      </w:r>
    </w:p>
    <w:p w14:paraId="12660933" w14:textId="6676D2C0" w:rsidR="00784FC7" w:rsidRDefault="00784FC7" w:rsidP="00C70FA5">
      <w:pPr>
        <w:numPr>
          <w:ilvl w:val="0"/>
          <w:numId w:val="8"/>
        </w:numPr>
      </w:pPr>
      <w:r>
        <w:t xml:space="preserve">The </w:t>
      </w:r>
      <w:r w:rsidR="00C70FA5">
        <w:t>standardized collected data is transfer</w:t>
      </w:r>
      <w:r w:rsidR="00722C41">
        <w:t>red</w:t>
      </w:r>
      <w:r w:rsidR="00C70FA5">
        <w:t xml:space="preserve"> to </w:t>
      </w:r>
      <w:r w:rsidR="00DF0D5D">
        <w:t>DCF</w:t>
      </w:r>
      <w:r w:rsidR="00C70FA5">
        <w:t xml:space="preserve"> via UP path, the format of the standardized collected data will be defined in stage 3.</w:t>
      </w:r>
    </w:p>
    <w:p w14:paraId="3F0E9642" w14:textId="057B2621" w:rsidR="00C70FA5" w:rsidRDefault="00DF0D5D" w:rsidP="00C70FA5">
      <w:pPr>
        <w:numPr>
          <w:ilvl w:val="0"/>
          <w:numId w:val="8"/>
        </w:numPr>
      </w:pPr>
      <w:r>
        <w:t>DCF</w:t>
      </w:r>
      <w:r w:rsidR="0018255E">
        <w:t xml:space="preserve"> forwards the received data to the AF without data handling.</w:t>
      </w:r>
    </w:p>
    <w:p w14:paraId="3FA145A9" w14:textId="77777777" w:rsidR="003A46DE" w:rsidRPr="00150459" w:rsidRDefault="003A46DE"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2F5F830" w14:textId="77777777" w:rsidR="008E2321" w:rsidRDefault="008E2321" w:rsidP="00BB32D4">
      <w:pPr>
        <w:pStyle w:val="B1"/>
        <w:ind w:left="0" w:firstLine="0"/>
        <w:rPr>
          <w:lang w:eastAsia="zh-CN"/>
        </w:rPr>
      </w:pPr>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BD640" w14:textId="77777777" w:rsidR="00C308B9" w:rsidRDefault="00C308B9">
      <w:r>
        <w:separator/>
      </w:r>
    </w:p>
  </w:endnote>
  <w:endnote w:type="continuationSeparator" w:id="0">
    <w:p w14:paraId="3DB10F6A" w14:textId="77777777" w:rsidR="00C308B9" w:rsidRDefault="00C30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TZhongsong"/>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BED07" w14:textId="77777777" w:rsidR="00C308B9" w:rsidRDefault="00C308B9">
      <w:r>
        <w:separator/>
      </w:r>
    </w:p>
  </w:footnote>
  <w:footnote w:type="continuationSeparator" w:id="0">
    <w:p w14:paraId="1C2C5A22" w14:textId="77777777" w:rsidR="00C308B9" w:rsidRDefault="00C308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0403"/>
    <w:multiLevelType w:val="hybridMultilevel"/>
    <w:tmpl w:val="4E1E64FA"/>
    <w:lvl w:ilvl="0" w:tplc="20442D4A">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EE65F5"/>
    <w:multiLevelType w:val="hybridMultilevel"/>
    <w:tmpl w:val="7A9875B4"/>
    <w:lvl w:ilvl="0" w:tplc="20442D4A">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44142E"/>
    <w:multiLevelType w:val="hybridMultilevel"/>
    <w:tmpl w:val="A01846C8"/>
    <w:lvl w:ilvl="0" w:tplc="21FC06E2">
      <w:start w:val="8"/>
      <w:numFmt w:val="bullet"/>
      <w:lvlText w:val="-"/>
      <w:lvlJc w:val="left"/>
      <w:pPr>
        <w:ind w:left="360" w:hanging="360"/>
      </w:pPr>
      <w:rPr>
        <w:rFonts w:ascii="Times New Roman" w:eastAsia="Malgun Gothic" w:hAnsi="Times New Roman" w:cs="Times New Roman" w:hint="default"/>
      </w:rPr>
    </w:lvl>
    <w:lvl w:ilvl="1" w:tplc="20442D4A">
      <w:start w:val="1"/>
      <w:numFmt w:val="bullet"/>
      <w:lvlText w:val="-"/>
      <w:lvlJc w:val="left"/>
      <w:pPr>
        <w:ind w:left="1080" w:hanging="360"/>
      </w:pPr>
      <w:rPr>
        <w:rFonts w:ascii="Times New Roman" w:eastAsia="Malgun Gothic"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9132DF"/>
    <w:multiLevelType w:val="hybridMultilevel"/>
    <w:tmpl w:val="B8FAEF56"/>
    <w:lvl w:ilvl="0" w:tplc="20442D4A">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0F1572F"/>
    <w:multiLevelType w:val="hybridMultilevel"/>
    <w:tmpl w:val="BC0250D0"/>
    <w:lvl w:ilvl="0" w:tplc="20442D4A">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6"/>
  </w:num>
  <w:num w:numId="2" w16cid:durableId="1272318533">
    <w:abstractNumId w:val="4"/>
  </w:num>
  <w:num w:numId="3" w16cid:durableId="416366409">
    <w:abstractNumId w:val="7"/>
  </w:num>
  <w:num w:numId="4" w16cid:durableId="1839150036">
    <w:abstractNumId w:val="2"/>
  </w:num>
  <w:num w:numId="5" w16cid:durableId="1375226665">
    <w:abstractNumId w:val="5"/>
  </w:num>
  <w:num w:numId="6" w16cid:durableId="1679234456">
    <w:abstractNumId w:val="3"/>
  </w:num>
  <w:num w:numId="7" w16cid:durableId="1869298301">
    <w:abstractNumId w:val="1"/>
  </w:num>
  <w:num w:numId="8" w16cid:durableId="200520707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F34"/>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15"/>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459"/>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55E"/>
    <w:rsid w:val="0018391E"/>
    <w:rsid w:val="0018404D"/>
    <w:rsid w:val="001843AD"/>
    <w:rsid w:val="001843AE"/>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A97"/>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1EB"/>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438"/>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2EE2"/>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0AC"/>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41"/>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47FC3"/>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4FC7"/>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1D5C"/>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25"/>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82D"/>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353"/>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1E2"/>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A7488"/>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172"/>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FA5"/>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36C"/>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35C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32C"/>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99D"/>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0D5D"/>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418"/>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63325896">
      <w:bodyDiv w:val="1"/>
      <w:marLeft w:val="0"/>
      <w:marRight w:val="0"/>
      <w:marTop w:val="0"/>
      <w:marBottom w:val="0"/>
      <w:divBdr>
        <w:top w:val="none" w:sz="0" w:space="0" w:color="auto"/>
        <w:left w:val="none" w:sz="0" w:space="0" w:color="auto"/>
        <w:bottom w:val="none" w:sz="0" w:space="0" w:color="auto"/>
        <w:right w:val="none" w:sz="0" w:space="0" w:color="auto"/>
      </w:divBdr>
      <w:divsChild>
        <w:div w:id="1069184621">
          <w:marLeft w:val="1080"/>
          <w:marRight w:val="0"/>
          <w:marTop w:val="100"/>
          <w:marBottom w:val="0"/>
          <w:divBdr>
            <w:top w:val="none" w:sz="0" w:space="0" w:color="auto"/>
            <w:left w:val="none" w:sz="0" w:space="0" w:color="auto"/>
            <w:bottom w:val="none" w:sz="0" w:space="0" w:color="auto"/>
            <w:right w:val="none" w:sz="0" w:space="0" w:color="auto"/>
          </w:divBdr>
        </w:div>
        <w:div w:id="1818568737">
          <w:marLeft w:val="1800"/>
          <w:marRight w:val="0"/>
          <w:marTop w:val="100"/>
          <w:marBottom w:val="0"/>
          <w:divBdr>
            <w:top w:val="none" w:sz="0" w:space="0" w:color="auto"/>
            <w:left w:val="none" w:sz="0" w:space="0" w:color="auto"/>
            <w:bottom w:val="none" w:sz="0" w:space="0" w:color="auto"/>
            <w:right w:val="none" w:sz="0" w:space="0" w:color="auto"/>
          </w:divBdr>
        </w:div>
        <w:div w:id="1752847161">
          <w:marLeft w:val="1800"/>
          <w:marRight w:val="0"/>
          <w:marTop w:val="100"/>
          <w:marBottom w:val="0"/>
          <w:divBdr>
            <w:top w:val="none" w:sz="0" w:space="0" w:color="auto"/>
            <w:left w:val="none" w:sz="0" w:space="0" w:color="auto"/>
            <w:bottom w:val="none" w:sz="0" w:space="0" w:color="auto"/>
            <w:right w:val="none" w:sz="0" w:space="0" w:color="auto"/>
          </w:divBdr>
        </w:div>
        <w:div w:id="1597790782">
          <w:marLeft w:val="1800"/>
          <w:marRight w:val="0"/>
          <w:marTop w:val="100"/>
          <w:marBottom w:val="0"/>
          <w:divBdr>
            <w:top w:val="none" w:sz="0" w:space="0" w:color="auto"/>
            <w:left w:val="none" w:sz="0" w:space="0" w:color="auto"/>
            <w:bottom w:val="none" w:sz="0" w:space="0" w:color="auto"/>
            <w:right w:val="none" w:sz="0" w:space="0" w:color="auto"/>
          </w:divBdr>
        </w:div>
        <w:div w:id="334499281">
          <w:marLeft w:val="1800"/>
          <w:marRight w:val="0"/>
          <w:marTop w:val="100"/>
          <w:marBottom w:val="0"/>
          <w:divBdr>
            <w:top w:val="none" w:sz="0" w:space="0" w:color="auto"/>
            <w:left w:val="none" w:sz="0" w:space="0" w:color="auto"/>
            <w:bottom w:val="none" w:sz="0" w:space="0" w:color="auto"/>
            <w:right w:val="none" w:sz="0" w:space="0" w:color="auto"/>
          </w:divBdr>
        </w:div>
      </w:divsChild>
    </w:div>
    <w:div w:id="195822709">
      <w:bodyDiv w:val="1"/>
      <w:marLeft w:val="0"/>
      <w:marRight w:val="0"/>
      <w:marTop w:val="0"/>
      <w:marBottom w:val="0"/>
      <w:divBdr>
        <w:top w:val="none" w:sz="0" w:space="0" w:color="auto"/>
        <w:left w:val="none" w:sz="0" w:space="0" w:color="auto"/>
        <w:bottom w:val="none" w:sz="0" w:space="0" w:color="auto"/>
        <w:right w:val="none" w:sz="0" w:space="0" w:color="auto"/>
      </w:divBdr>
      <w:divsChild>
        <w:div w:id="476798704">
          <w:marLeft w:val="1080"/>
          <w:marRight w:val="0"/>
          <w:marTop w:val="100"/>
          <w:marBottom w:val="0"/>
          <w:divBdr>
            <w:top w:val="none" w:sz="0" w:space="0" w:color="auto"/>
            <w:left w:val="none" w:sz="0" w:space="0" w:color="auto"/>
            <w:bottom w:val="none" w:sz="0" w:space="0" w:color="auto"/>
            <w:right w:val="none" w:sz="0" w:space="0" w:color="auto"/>
          </w:divBdr>
        </w:div>
        <w:div w:id="1441683125">
          <w:marLeft w:val="1080"/>
          <w:marRight w:val="0"/>
          <w:marTop w:val="100"/>
          <w:marBottom w:val="0"/>
          <w:divBdr>
            <w:top w:val="none" w:sz="0" w:space="0" w:color="auto"/>
            <w:left w:val="none" w:sz="0" w:space="0" w:color="auto"/>
            <w:bottom w:val="none" w:sz="0" w:space="0" w:color="auto"/>
            <w:right w:val="none" w:sz="0" w:space="0" w:color="auto"/>
          </w:divBdr>
        </w:div>
        <w:div w:id="1488667352">
          <w:marLeft w:val="1080"/>
          <w:marRight w:val="0"/>
          <w:marTop w:val="100"/>
          <w:marBottom w:val="0"/>
          <w:divBdr>
            <w:top w:val="none" w:sz="0" w:space="0" w:color="auto"/>
            <w:left w:val="none" w:sz="0" w:space="0" w:color="auto"/>
            <w:bottom w:val="none" w:sz="0" w:space="0" w:color="auto"/>
            <w:right w:val="none" w:sz="0" w:space="0" w:color="auto"/>
          </w:divBdr>
        </w:div>
        <w:div w:id="355158332">
          <w:marLeft w:val="1080"/>
          <w:marRight w:val="0"/>
          <w:marTop w:val="100"/>
          <w:marBottom w:val="0"/>
          <w:divBdr>
            <w:top w:val="none" w:sz="0" w:space="0" w:color="auto"/>
            <w:left w:val="none" w:sz="0" w:space="0" w:color="auto"/>
            <w:bottom w:val="none" w:sz="0" w:space="0" w:color="auto"/>
            <w:right w:val="none" w:sz="0" w:space="0" w:color="auto"/>
          </w:divBdr>
        </w:div>
        <w:div w:id="159737523">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2798582">
      <w:bodyDiv w:val="1"/>
      <w:marLeft w:val="0"/>
      <w:marRight w:val="0"/>
      <w:marTop w:val="0"/>
      <w:marBottom w:val="0"/>
      <w:divBdr>
        <w:top w:val="none" w:sz="0" w:space="0" w:color="auto"/>
        <w:left w:val="none" w:sz="0" w:space="0" w:color="auto"/>
        <w:bottom w:val="none" w:sz="0" w:space="0" w:color="auto"/>
        <w:right w:val="none" w:sz="0" w:space="0" w:color="auto"/>
      </w:divBdr>
      <w:divsChild>
        <w:div w:id="153841632">
          <w:marLeft w:val="1080"/>
          <w:marRight w:val="0"/>
          <w:marTop w:val="10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4807007">
      <w:bodyDiv w:val="1"/>
      <w:marLeft w:val="0"/>
      <w:marRight w:val="0"/>
      <w:marTop w:val="0"/>
      <w:marBottom w:val="0"/>
      <w:divBdr>
        <w:top w:val="none" w:sz="0" w:space="0" w:color="auto"/>
        <w:left w:val="none" w:sz="0" w:space="0" w:color="auto"/>
        <w:bottom w:val="none" w:sz="0" w:space="0" w:color="auto"/>
        <w:right w:val="none" w:sz="0" w:space="0" w:color="auto"/>
      </w:divBdr>
      <w:divsChild>
        <w:div w:id="1502309836">
          <w:marLeft w:val="1080"/>
          <w:marRight w:val="0"/>
          <w:marTop w:val="100"/>
          <w:marBottom w:val="0"/>
          <w:divBdr>
            <w:top w:val="none" w:sz="0" w:space="0" w:color="auto"/>
            <w:left w:val="none" w:sz="0" w:space="0" w:color="auto"/>
            <w:bottom w:val="none" w:sz="0" w:space="0" w:color="auto"/>
            <w:right w:val="none" w:sz="0" w:space="0" w:color="auto"/>
          </w:divBdr>
        </w:div>
        <w:div w:id="978345498">
          <w:marLeft w:val="1080"/>
          <w:marRight w:val="0"/>
          <w:marTop w:val="100"/>
          <w:marBottom w:val="0"/>
          <w:divBdr>
            <w:top w:val="none" w:sz="0" w:space="0" w:color="auto"/>
            <w:left w:val="none" w:sz="0" w:space="0" w:color="auto"/>
            <w:bottom w:val="none" w:sz="0" w:space="0" w:color="auto"/>
            <w:right w:val="none" w:sz="0" w:space="0" w:color="auto"/>
          </w:divBdr>
        </w:div>
      </w:divsChild>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625</Words>
  <Characters>3110</Characters>
  <Application>Microsoft Office Word</Application>
  <DocSecurity>4</DocSecurity>
  <Lines>74</Lines>
  <Paragraphs>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SA2#172</cp:lastModifiedBy>
  <cp:revision>2</cp:revision>
  <cp:lastPrinted>2017-11-09T01:38:00Z</cp:lastPrinted>
  <dcterms:created xsi:type="dcterms:W3CDTF">2025-11-07T11:33:00Z</dcterms:created>
  <dcterms:modified xsi:type="dcterms:W3CDTF">2025-11-07T11:33:00Z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